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406" w:rsidRDefault="00186406" w:rsidP="00186406">
      <w:pPr>
        <w:autoSpaceDE w:val="0"/>
        <w:autoSpaceDN w:val="0"/>
        <w:adjustRightInd w:val="0"/>
        <w:spacing w:after="120" w:line="300" w:lineRule="auto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ÇUKUROVA ÜN</w:t>
      </w:r>
      <w:r w:rsidRPr="003275F3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İ</w:t>
      </w: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VERS</w:t>
      </w:r>
      <w:r w:rsidRPr="003275F3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İ</w:t>
      </w: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TESİ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TIP FAKÜLTES</w:t>
      </w:r>
      <w:r w:rsidRPr="003275F3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İ</w:t>
      </w:r>
    </w:p>
    <w:p w:rsidR="00186406" w:rsidRPr="004D0EAC" w:rsidRDefault="00186406" w:rsidP="00186406">
      <w:pPr>
        <w:autoSpaceDE w:val="0"/>
        <w:autoSpaceDN w:val="0"/>
        <w:adjustRightInd w:val="0"/>
        <w:spacing w:after="120" w:line="300" w:lineRule="auto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ARA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Ş</w:t>
      </w: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TIRMA</w:t>
      </w:r>
      <w:r w:rsidRPr="00CD4E3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ET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İ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K KURULU </w:t>
      </w: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YÖNERGES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İ</w:t>
      </w:r>
    </w:p>
    <w:p w:rsidR="00186406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İ</w:t>
      </w: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İ</w:t>
      </w: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NC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İ</w:t>
      </w:r>
      <w:r w:rsidRPr="003275F3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BÖLÜM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Amaç, Kapsam, Dayanak ve Tanımlar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Amaç ve Kapsam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MADDE 1-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Bu yönerge, Çukurova Üniversitesi Tıp Fakültesi bünyesinde yürütülecek,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Çukurova Üniversitesi Klinik Araştırmalar Etik Kurulu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ve</w:t>
      </w:r>
      <w:r w:rsidRPr="00186406">
        <w:t xml:space="preserve"> </w:t>
      </w:r>
      <w:r w:rsidRPr="00186406">
        <w:rPr>
          <w:rFonts w:ascii="Times New Roman" w:hAnsi="Times New Roman" w:cs="Times New Roman"/>
          <w:color w:val="000000"/>
          <w:kern w:val="0"/>
          <w:sz w:val="24"/>
          <w:szCs w:val="24"/>
        </w:rPr>
        <w:t>Çukurova Üniversitesi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18640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Sağlık Bilimleri Deneysel Uygulama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v</w:t>
      </w:r>
      <w:r w:rsidRPr="00186406">
        <w:rPr>
          <w:rFonts w:ascii="Times New Roman" w:hAnsi="Times New Roman" w:cs="Times New Roman"/>
          <w:color w:val="000000"/>
          <w:kern w:val="0"/>
          <w:sz w:val="24"/>
          <w:szCs w:val="24"/>
        </w:rPr>
        <w:t>e Araştırma Merkezi Hayvan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186406">
        <w:rPr>
          <w:rFonts w:ascii="Times New Roman" w:hAnsi="Times New Roman" w:cs="Times New Roman"/>
          <w:color w:val="000000"/>
          <w:kern w:val="0"/>
          <w:sz w:val="24"/>
          <w:szCs w:val="24"/>
        </w:rPr>
        <w:t>Deneyleri Yerel Etik Kurulu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tarafından değerlendirilmesi gerekenlerin dışında kalan araştırm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 projelerinin etik ilkelere ve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kurallara uygunluk olup olmadığını inceleyerek görüş bildirmek üzere oluş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turulan </w:t>
      </w:r>
      <w:r w:rsidRPr="00186406">
        <w:rPr>
          <w:rFonts w:ascii="Times New Roman" w:hAnsi="Times New Roman" w:cs="Times New Roman"/>
          <w:color w:val="000000"/>
          <w:kern w:val="0"/>
          <w:sz w:val="24"/>
          <w:szCs w:val="24"/>
        </w:rPr>
        <w:t>Çukurova Üniversitesi Tıp Fakültesi Araştırma Etik Kurulu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’nun yapısını,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görevlerini ve çalışma biçimini düzenler.</w:t>
      </w:r>
      <w:proofErr w:type="gramEnd"/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Dayanak</w:t>
      </w:r>
    </w:p>
    <w:p w:rsidR="00186406" w:rsidRPr="003275F3" w:rsidRDefault="00186406" w:rsidP="00F51504">
      <w:pPr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MADDE 2-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Bu yönerge, 15 Mayıs 1987 tarihli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ve 19461 sayılı Resmi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Gazete’de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yayımlanan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Sağlık Hizmetleri Temel Kanunu’nun Ek 10 (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6/4/2011-6225/8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md.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) maddesine</w:t>
      </w:r>
      <w:r w:rsidR="00524740"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  <w:r w:rsidR="00EF7C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EF7C3F" w:rsidRPr="00EF7C3F">
        <w:rPr>
          <w:rFonts w:ascii="Times New Roman" w:hAnsi="Times New Roman" w:cs="Times New Roman"/>
          <w:color w:val="000000"/>
          <w:kern w:val="0"/>
          <w:sz w:val="24"/>
          <w:szCs w:val="24"/>
        </w:rPr>
        <w:t>27</w:t>
      </w:r>
      <w:r w:rsidR="00EF7C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Mayıs </w:t>
      </w:r>
      <w:r w:rsidR="00EF7C3F" w:rsidRPr="00EF7C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2023 tarihli </w:t>
      </w:r>
      <w:r w:rsidR="00EF7C3F">
        <w:rPr>
          <w:rFonts w:ascii="Times New Roman" w:hAnsi="Times New Roman" w:cs="Times New Roman"/>
          <w:color w:val="000000"/>
          <w:kern w:val="0"/>
          <w:sz w:val="24"/>
          <w:szCs w:val="24"/>
        </w:rPr>
        <w:t>ve</w:t>
      </w:r>
      <w:r w:rsidR="00EF7C3F" w:rsidRPr="00EF7C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32203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EF7C3F" w:rsidRPr="00EF7C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sayılı </w:t>
      </w:r>
      <w:r w:rsidRPr="00EF7C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Resmi </w:t>
      </w:r>
      <w:proofErr w:type="spellStart"/>
      <w:r w:rsidRPr="00EF7C3F">
        <w:rPr>
          <w:rFonts w:ascii="Times New Roman" w:hAnsi="Times New Roman" w:cs="Times New Roman"/>
          <w:color w:val="000000"/>
          <w:kern w:val="0"/>
          <w:sz w:val="24"/>
          <w:szCs w:val="24"/>
        </w:rPr>
        <w:t>Gazete’de</w:t>
      </w:r>
      <w:proofErr w:type="spellEnd"/>
      <w:r w:rsidRPr="00EF7C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yayımlana</w:t>
      </w:r>
      <w:r w:rsidR="00EF7C3F" w:rsidRPr="00EF7C3F">
        <w:rPr>
          <w:rFonts w:ascii="Times New Roman" w:hAnsi="Times New Roman" w:cs="Times New Roman"/>
          <w:color w:val="000000"/>
          <w:kern w:val="0"/>
          <w:sz w:val="24"/>
          <w:szCs w:val="24"/>
        </w:rPr>
        <w:t>n</w:t>
      </w:r>
      <w:r w:rsidR="00EF7C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EF7C3F" w:rsidRPr="00EF7C3F">
        <w:rPr>
          <w:rFonts w:ascii="Times New Roman" w:hAnsi="Times New Roman" w:cs="Times New Roman"/>
          <w:color w:val="000000"/>
          <w:kern w:val="0"/>
          <w:sz w:val="24"/>
          <w:szCs w:val="24"/>
        </w:rPr>
        <w:t>Beşeri Tıbbi Ürünlerin Klinik Araştırmaları</w:t>
      </w:r>
      <w:r w:rsidR="00EF7C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EF7C3F" w:rsidRPr="00EF7C3F">
        <w:rPr>
          <w:rFonts w:ascii="Times New Roman" w:hAnsi="Times New Roman" w:cs="Times New Roman"/>
          <w:color w:val="000000"/>
          <w:kern w:val="0"/>
          <w:sz w:val="24"/>
          <w:szCs w:val="24"/>
        </w:rPr>
        <w:t>Hakkında Yönetmelik</w:t>
      </w:r>
      <w:r w:rsidR="00EF7C3F">
        <w:rPr>
          <w:rFonts w:ascii="Times New Roman" w:hAnsi="Times New Roman" w:cs="Times New Roman"/>
          <w:color w:val="000000"/>
          <w:kern w:val="0"/>
          <w:sz w:val="24"/>
          <w:szCs w:val="24"/>
        </w:rPr>
        <w:t>’e</w:t>
      </w:r>
      <w:r w:rsidR="0052474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; </w:t>
      </w:r>
      <w:r w:rsidR="00524740" w:rsidRPr="00524740">
        <w:rPr>
          <w:rFonts w:ascii="Times New Roman" w:hAnsi="Times New Roman" w:cs="Times New Roman"/>
          <w:color w:val="000000"/>
          <w:kern w:val="0"/>
          <w:sz w:val="24"/>
          <w:szCs w:val="24"/>
        </w:rPr>
        <w:t>08</w:t>
      </w:r>
      <w:r w:rsidR="0052474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Temmuz </w:t>
      </w:r>
      <w:r w:rsidR="00524740" w:rsidRPr="0052474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2022 </w:t>
      </w:r>
      <w:r w:rsidR="0052474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tarihli ve </w:t>
      </w:r>
      <w:r w:rsidR="00524740" w:rsidRPr="00524740">
        <w:rPr>
          <w:rFonts w:ascii="Times New Roman" w:hAnsi="Times New Roman" w:cs="Times New Roman"/>
          <w:color w:val="000000"/>
          <w:kern w:val="0"/>
          <w:sz w:val="24"/>
          <w:szCs w:val="24"/>
        </w:rPr>
        <w:t>31890</w:t>
      </w:r>
      <w:r w:rsidR="00524740"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52474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sayılı </w:t>
      </w:r>
      <w:r w:rsidR="00524740" w:rsidRPr="0052474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Resmî </w:t>
      </w:r>
      <w:proofErr w:type="spellStart"/>
      <w:r w:rsidR="00524740" w:rsidRPr="00524740">
        <w:rPr>
          <w:rFonts w:ascii="Times New Roman" w:hAnsi="Times New Roman" w:cs="Times New Roman"/>
          <w:color w:val="000000"/>
          <w:kern w:val="0"/>
          <w:sz w:val="24"/>
          <w:szCs w:val="24"/>
        </w:rPr>
        <w:t>Gazete</w:t>
      </w:r>
      <w:r w:rsidR="00524740">
        <w:rPr>
          <w:rFonts w:ascii="Times New Roman" w:hAnsi="Times New Roman" w:cs="Times New Roman"/>
          <w:color w:val="000000"/>
          <w:kern w:val="0"/>
          <w:sz w:val="24"/>
          <w:szCs w:val="24"/>
        </w:rPr>
        <w:t>’de</w:t>
      </w:r>
      <w:proofErr w:type="spellEnd"/>
      <w:r w:rsidR="0052474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yayımlanan</w:t>
      </w:r>
      <w:r w:rsidR="00524740" w:rsidRPr="0052474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Tıbbi Cihaz Klinik Araştırmaları Yönetmeliği</w:t>
      </w:r>
      <w:r w:rsidR="0052474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’ne; 20 Eylül 2015 tarihli ve </w:t>
      </w:r>
      <w:r w:rsidR="00524740" w:rsidRPr="0052474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29481 </w:t>
      </w:r>
      <w:r w:rsidR="0052474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sayılı </w:t>
      </w:r>
      <w:r w:rsidR="00524740" w:rsidRPr="0052474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Resmî </w:t>
      </w:r>
      <w:proofErr w:type="spellStart"/>
      <w:r w:rsidR="00524740" w:rsidRPr="00524740">
        <w:rPr>
          <w:rFonts w:ascii="Times New Roman" w:hAnsi="Times New Roman" w:cs="Times New Roman"/>
          <w:color w:val="000000"/>
          <w:kern w:val="0"/>
          <w:sz w:val="24"/>
          <w:szCs w:val="24"/>
        </w:rPr>
        <w:t>Gazete</w:t>
      </w:r>
      <w:r w:rsidR="00524740">
        <w:rPr>
          <w:rFonts w:ascii="Times New Roman" w:hAnsi="Times New Roman" w:cs="Times New Roman"/>
          <w:color w:val="000000"/>
          <w:kern w:val="0"/>
          <w:sz w:val="24"/>
          <w:szCs w:val="24"/>
        </w:rPr>
        <w:t>’de</w:t>
      </w:r>
      <w:proofErr w:type="spellEnd"/>
      <w:r w:rsidR="0052474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yayımlanan</w:t>
      </w:r>
      <w:r w:rsidR="00524740" w:rsidRPr="0052474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Kozmetik Ürün veya Hammaddelerinin Etkinlik ve Güvenlilik Çalışmaları ile Klinik Araştırmaları Hakkında Yönetmelik</w:t>
      </w:r>
      <w:r w:rsidR="0052474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’e; </w:t>
      </w:r>
      <w:r w:rsidR="00CA0224" w:rsidRPr="00CA0224">
        <w:rPr>
          <w:rFonts w:ascii="Times New Roman" w:hAnsi="Times New Roman" w:cs="Times New Roman"/>
          <w:color w:val="000000"/>
          <w:kern w:val="0"/>
          <w:sz w:val="24"/>
          <w:szCs w:val="24"/>
        </w:rPr>
        <w:t>09</w:t>
      </w:r>
      <w:r w:rsidR="00CA022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Mart </w:t>
      </w:r>
      <w:r w:rsidR="00CA0224" w:rsidRPr="00CA022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2019 </w:t>
      </w:r>
      <w:r w:rsidR="003E33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tarihli ve </w:t>
      </w:r>
      <w:r w:rsidR="00CA0224" w:rsidRPr="00CA022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30709 </w:t>
      </w:r>
      <w:r w:rsidR="003E33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sayılı </w:t>
      </w:r>
      <w:r w:rsidR="003E331F" w:rsidRPr="0052474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Resmî </w:t>
      </w:r>
      <w:proofErr w:type="spellStart"/>
      <w:r w:rsidR="003E331F" w:rsidRPr="00524740">
        <w:rPr>
          <w:rFonts w:ascii="Times New Roman" w:hAnsi="Times New Roman" w:cs="Times New Roman"/>
          <w:color w:val="000000"/>
          <w:kern w:val="0"/>
          <w:sz w:val="24"/>
          <w:szCs w:val="24"/>
        </w:rPr>
        <w:t>Gazete</w:t>
      </w:r>
      <w:r w:rsidR="003E331F">
        <w:rPr>
          <w:rFonts w:ascii="Times New Roman" w:hAnsi="Times New Roman" w:cs="Times New Roman"/>
          <w:color w:val="000000"/>
          <w:kern w:val="0"/>
          <w:sz w:val="24"/>
          <w:szCs w:val="24"/>
        </w:rPr>
        <w:t>’de</w:t>
      </w:r>
      <w:proofErr w:type="spellEnd"/>
      <w:r w:rsidR="003E331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yayımlanan</w:t>
      </w:r>
      <w:r w:rsidR="003E331F" w:rsidRPr="0052474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D80394" w:rsidRPr="00D8039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Geleneksel </w:t>
      </w:r>
      <w:r w:rsidR="00CA0224">
        <w:rPr>
          <w:rFonts w:ascii="Times New Roman" w:hAnsi="Times New Roman" w:cs="Times New Roman"/>
          <w:color w:val="000000"/>
          <w:kern w:val="0"/>
          <w:sz w:val="24"/>
          <w:szCs w:val="24"/>
        </w:rPr>
        <w:t>v</w:t>
      </w:r>
      <w:r w:rsidR="00D80394" w:rsidRPr="00D80394">
        <w:rPr>
          <w:rFonts w:ascii="Times New Roman" w:hAnsi="Times New Roman" w:cs="Times New Roman"/>
          <w:color w:val="000000"/>
          <w:kern w:val="0"/>
          <w:sz w:val="24"/>
          <w:szCs w:val="24"/>
        </w:rPr>
        <w:t>e Tamamlayıcı Tıp Uygulamalarının Klinik</w:t>
      </w:r>
      <w:r w:rsidR="00D8039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D80394" w:rsidRPr="00D80394">
        <w:rPr>
          <w:rFonts w:ascii="Times New Roman" w:hAnsi="Times New Roman" w:cs="Times New Roman"/>
          <w:color w:val="000000"/>
          <w:kern w:val="0"/>
          <w:sz w:val="24"/>
          <w:szCs w:val="24"/>
        </w:rPr>
        <w:t>Araştırmaları Hakkında Yönetmelik</w:t>
      </w:r>
      <w:r w:rsidR="00D80394">
        <w:rPr>
          <w:rFonts w:ascii="Times New Roman" w:hAnsi="Times New Roman" w:cs="Times New Roman"/>
          <w:color w:val="000000"/>
          <w:kern w:val="0"/>
          <w:sz w:val="24"/>
          <w:szCs w:val="24"/>
        </w:rPr>
        <w:t>’e</w:t>
      </w:r>
      <w:r w:rsidR="00CA022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; </w:t>
      </w:r>
      <w:r w:rsidR="00F51504" w:rsidRPr="00F51504">
        <w:rPr>
          <w:rFonts w:ascii="Times New Roman" w:hAnsi="Times New Roman" w:cs="Times New Roman"/>
          <w:color w:val="000000"/>
          <w:kern w:val="0"/>
          <w:sz w:val="24"/>
          <w:szCs w:val="24"/>
        </w:rPr>
        <w:t>15</w:t>
      </w:r>
      <w:r w:rsidR="00F5150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Şubat </w:t>
      </w:r>
      <w:r w:rsidR="00F51504" w:rsidRPr="00F5150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2014 </w:t>
      </w:r>
      <w:r w:rsidR="00F5150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tarihli ve </w:t>
      </w:r>
      <w:r w:rsidR="00F51504" w:rsidRPr="00F5150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28914 </w:t>
      </w:r>
      <w:r w:rsidR="00F5150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sayılı </w:t>
      </w:r>
      <w:r w:rsidR="00F51504" w:rsidRPr="0052474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Resmî </w:t>
      </w:r>
      <w:proofErr w:type="spellStart"/>
      <w:r w:rsidR="00F51504" w:rsidRPr="00524740">
        <w:rPr>
          <w:rFonts w:ascii="Times New Roman" w:hAnsi="Times New Roman" w:cs="Times New Roman"/>
          <w:color w:val="000000"/>
          <w:kern w:val="0"/>
          <w:sz w:val="24"/>
          <w:szCs w:val="24"/>
        </w:rPr>
        <w:t>Gazete</w:t>
      </w:r>
      <w:r w:rsidR="00F51504">
        <w:rPr>
          <w:rFonts w:ascii="Times New Roman" w:hAnsi="Times New Roman" w:cs="Times New Roman"/>
          <w:color w:val="000000"/>
          <w:kern w:val="0"/>
          <w:sz w:val="24"/>
          <w:szCs w:val="24"/>
        </w:rPr>
        <w:t>’de</w:t>
      </w:r>
      <w:proofErr w:type="spellEnd"/>
      <w:r w:rsidR="00F5150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yayımlanan</w:t>
      </w:r>
      <w:r w:rsidR="00F51504" w:rsidRPr="0052474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F51504" w:rsidRPr="00F5150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Hayvan Deneyleri Etik Kurullarının Çalışma Usul </w:t>
      </w:r>
      <w:r w:rsidR="00F51504">
        <w:rPr>
          <w:rFonts w:ascii="Times New Roman" w:hAnsi="Times New Roman" w:cs="Times New Roman"/>
          <w:color w:val="000000"/>
          <w:kern w:val="0"/>
          <w:sz w:val="24"/>
          <w:szCs w:val="24"/>
        </w:rPr>
        <w:t>ve</w:t>
      </w:r>
      <w:r w:rsidR="00F51504" w:rsidRPr="00F5150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Esaslarına Dair Yönetmelik</w:t>
      </w:r>
      <w:r w:rsidR="00F5150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’e: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 Kasım 1981 tarihli ve 17506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sayıl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ı Resmi </w:t>
      </w:r>
      <w:proofErr w:type="spellStart"/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Gazete’de</w:t>
      </w:r>
      <w:proofErr w:type="spellEnd"/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yayımlanan 2547 sayılı </w:t>
      </w:r>
      <w:r w:rsidRPr="002B6066">
        <w:rPr>
          <w:rFonts w:ascii="Times New Roman" w:hAnsi="Times New Roman" w:cs="Times New Roman"/>
          <w:color w:val="000000"/>
          <w:kern w:val="0"/>
          <w:sz w:val="24"/>
          <w:szCs w:val="24"/>
        </w:rPr>
        <w:t>Yüksek</w:t>
      </w:r>
      <w:r w:rsidR="002B6066">
        <w:rPr>
          <w:rFonts w:ascii="Times New Roman" w:hAnsi="Times New Roman" w:cs="Times New Roman"/>
          <w:color w:val="000000"/>
          <w:kern w:val="0"/>
          <w:sz w:val="24"/>
          <w:szCs w:val="24"/>
        </w:rPr>
        <w:t>ö</w:t>
      </w:r>
      <w:r w:rsidRPr="002B6066">
        <w:rPr>
          <w:rFonts w:ascii="Times New Roman" w:hAnsi="Times New Roman" w:cs="Times New Roman"/>
          <w:color w:val="000000"/>
          <w:kern w:val="0"/>
          <w:sz w:val="24"/>
          <w:szCs w:val="24"/>
        </w:rPr>
        <w:t>ğretim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Kanunu’nun 16(b)4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maddesine dayal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ı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olarak hazırlanmıştır.</w:t>
      </w:r>
      <w:proofErr w:type="gramEnd"/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Tanımlar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MADDE 3-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Bu Yönergede geçen;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a) Tıp Fakültesi: Çukurova Üniversitesi Tıp Fakültesi’ni,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b) Dekan: Çukurova Üniversitesi Tıp Fakültesi </w:t>
      </w:r>
      <w:proofErr w:type="spellStart"/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Dekanı’nı</w:t>
      </w:r>
      <w:proofErr w:type="spellEnd"/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c) Dekanlık: Çukurova Üniversitesi Tıp Fakültesi </w:t>
      </w:r>
      <w:proofErr w:type="spellStart"/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Dekanlı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ğ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ı’nı</w:t>
      </w:r>
      <w:proofErr w:type="spellEnd"/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ç) Etik Kurul: </w:t>
      </w:r>
      <w:r w:rsidRPr="002B6066">
        <w:rPr>
          <w:rFonts w:ascii="Times New Roman" w:hAnsi="Times New Roman" w:cs="Times New Roman"/>
          <w:color w:val="000000"/>
          <w:kern w:val="0"/>
          <w:sz w:val="24"/>
          <w:szCs w:val="24"/>
        </w:rPr>
        <w:t>Çukurova Üniversitesi Tıp Fakültesi Araştırma</w:t>
      </w:r>
      <w:r w:rsidR="002B606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B6066">
        <w:rPr>
          <w:rFonts w:ascii="Times New Roman" w:hAnsi="Times New Roman" w:cs="Times New Roman"/>
          <w:color w:val="000000"/>
          <w:kern w:val="0"/>
          <w:sz w:val="24"/>
          <w:szCs w:val="24"/>
        </w:rPr>
        <w:t>Etik Kurulu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’nu,</w:t>
      </w:r>
    </w:p>
    <w:p w:rsidR="00186406" w:rsidRDefault="00186406" w:rsidP="00AC042E">
      <w:pPr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d) Ara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ş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tırma-Ara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ş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tırma Projesi-Proje: Özel yasal düzenlemeyle araştırma etiğ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 yönünden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denetimi belirli bir etik kurula bırakılmış olmayan (</w:t>
      </w:r>
      <w:r w:rsidR="00AC042E" w:rsidRPr="00EF7C3F">
        <w:rPr>
          <w:rFonts w:ascii="Times New Roman" w:hAnsi="Times New Roman" w:cs="Times New Roman"/>
          <w:color w:val="000000"/>
          <w:kern w:val="0"/>
          <w:sz w:val="24"/>
          <w:szCs w:val="24"/>
        </w:rPr>
        <w:t>Beşeri Tıbbi Ürünlerin Klinik Araştırmaları</w:t>
      </w:r>
      <w:r w:rsidR="00AC042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AC042E" w:rsidRPr="00EF7C3F">
        <w:rPr>
          <w:rFonts w:ascii="Times New Roman" w:hAnsi="Times New Roman" w:cs="Times New Roman"/>
          <w:color w:val="000000"/>
          <w:kern w:val="0"/>
          <w:sz w:val="24"/>
          <w:szCs w:val="24"/>
        </w:rPr>
        <w:t>Hakkında Yönetmelik</w:t>
      </w:r>
      <w:r w:rsidR="00AC042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="00AC042E" w:rsidRPr="00524740">
        <w:rPr>
          <w:rFonts w:ascii="Times New Roman" w:hAnsi="Times New Roman" w:cs="Times New Roman"/>
          <w:color w:val="000000"/>
          <w:kern w:val="0"/>
          <w:sz w:val="24"/>
          <w:szCs w:val="24"/>
        </w:rPr>
        <w:t>Tıbbi Cihaz Klinik Araştırmaları Yönetmeliğ</w:t>
      </w:r>
      <w:r w:rsidR="00AC042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i, </w:t>
      </w:r>
      <w:r w:rsidR="00AC042E" w:rsidRPr="00524740">
        <w:rPr>
          <w:rFonts w:ascii="Times New Roman" w:hAnsi="Times New Roman" w:cs="Times New Roman"/>
          <w:color w:val="000000"/>
          <w:kern w:val="0"/>
          <w:sz w:val="24"/>
          <w:szCs w:val="24"/>
        </w:rPr>
        <w:t>Kozmetik Ürün veya Hammaddelerinin Etkinlik ve Güvenlilik Çalışmaları ile Klinik Araştırmaları Hakkında Yönetmelik</w:t>
      </w:r>
      <w:r w:rsidR="00AC042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="00AC042E" w:rsidRPr="00D8039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Geleneksel </w:t>
      </w:r>
      <w:r w:rsidR="00AC042E">
        <w:rPr>
          <w:rFonts w:ascii="Times New Roman" w:hAnsi="Times New Roman" w:cs="Times New Roman"/>
          <w:color w:val="000000"/>
          <w:kern w:val="0"/>
          <w:sz w:val="24"/>
          <w:szCs w:val="24"/>
        </w:rPr>
        <w:t>v</w:t>
      </w:r>
      <w:r w:rsidR="00AC042E" w:rsidRPr="00D80394">
        <w:rPr>
          <w:rFonts w:ascii="Times New Roman" w:hAnsi="Times New Roman" w:cs="Times New Roman"/>
          <w:color w:val="000000"/>
          <w:kern w:val="0"/>
          <w:sz w:val="24"/>
          <w:szCs w:val="24"/>
        </w:rPr>
        <w:t>e Tamamlayıcı Tıp Uygulamalarının Klinik</w:t>
      </w:r>
      <w:r w:rsidR="00AC042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AC042E" w:rsidRPr="00D8039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Araştırmaları Hakkında </w:t>
      </w:r>
      <w:r w:rsidR="00AC042E" w:rsidRPr="00D80394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Yönetmelik</w:t>
      </w:r>
      <w:r w:rsidR="00AC042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="00AC042E" w:rsidRPr="00F5150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Hayvan Deneyleri Etik Kurullarının Çalışma Usul </w:t>
      </w:r>
      <w:r w:rsidR="00AC042E">
        <w:rPr>
          <w:rFonts w:ascii="Times New Roman" w:hAnsi="Times New Roman" w:cs="Times New Roman"/>
          <w:color w:val="000000"/>
          <w:kern w:val="0"/>
          <w:sz w:val="24"/>
          <w:szCs w:val="24"/>
        </w:rPr>
        <w:t>ve</w:t>
      </w:r>
      <w:r w:rsidR="00AC042E" w:rsidRPr="00F5150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Esaslarına Dair Yönetmelik</w:t>
      </w:r>
      <w:r w:rsidR="00AC042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kapsamları dışında kalan) ve</w:t>
      </w:r>
      <w:r w:rsidR="002B6066"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2B6066" w:rsidRPr="002B6066">
        <w:rPr>
          <w:rFonts w:ascii="Times New Roman" w:hAnsi="Times New Roman" w:cs="Times New Roman"/>
          <w:color w:val="000000"/>
          <w:kern w:val="0"/>
          <w:sz w:val="24"/>
          <w:szCs w:val="24"/>
        </w:rPr>
        <w:t>Çukurova Üniversitesi Tıp Fakültesi Araştırma</w:t>
      </w:r>
      <w:r w:rsidR="002B606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2B6066" w:rsidRPr="002B6066">
        <w:rPr>
          <w:rFonts w:ascii="Times New Roman" w:hAnsi="Times New Roman" w:cs="Times New Roman"/>
          <w:color w:val="000000"/>
          <w:kern w:val="0"/>
          <w:sz w:val="24"/>
          <w:szCs w:val="24"/>
        </w:rPr>
        <w:t>Etik Kurulu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tarafından onaylanarak yürütülmesi öngörülen klinik tıp, temel tıp, insan biyolojisi ve insan bilimlerinde tıp bilimsel araştırmalarını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ifade eder.</w:t>
      </w:r>
      <w:proofErr w:type="gramEnd"/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186406" w:rsidRPr="001C21C0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1C21C0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İ</w:t>
      </w:r>
      <w:r w:rsidRPr="001C21C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K</w:t>
      </w:r>
      <w:r w:rsidRPr="001C21C0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İ</w:t>
      </w:r>
      <w:r w:rsidRPr="001C21C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NC</w:t>
      </w:r>
      <w:r w:rsidRPr="001C21C0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İ </w:t>
      </w:r>
      <w:r w:rsidRPr="001C21C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BÖLÜM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Etik Kurul’un Amacı ve Görevleri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Etik Kurul’un Amacı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MADDE 4-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Etik Kurul’un amacı yetki sınırları içinde yer alan ve değerlendirmesine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2D624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sunulan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klinik tıp, temel tıp, insan biyol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ojisi ve insan bilimlerinde tıp bilimsel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araştırma projelerinin araştırma etiği normlarına uygun olmasını sağlamaktır.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Etik Kurul’un Görevleri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MADDE 5-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Etik Kurul’un görevleri şunlardır: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a) Kendisine yapılacak proje değerlendirme başvurular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ın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da iz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lenmesi gereken yolu belirlemek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ve kullanılacak formları hazırlamak.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b) </w:t>
      </w:r>
      <w:r w:rsidRPr="0012761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Ele aldığı proje başvurularını hangi </w:t>
      </w:r>
      <w:proofErr w:type="gramStart"/>
      <w:r w:rsidRPr="0012761E">
        <w:rPr>
          <w:rFonts w:ascii="Times New Roman" w:hAnsi="Times New Roman" w:cs="Times New Roman"/>
          <w:color w:val="000000"/>
          <w:kern w:val="0"/>
          <w:sz w:val="24"/>
          <w:szCs w:val="24"/>
        </w:rPr>
        <w:t>kriterlere</w:t>
      </w:r>
      <w:proofErr w:type="gramEnd"/>
      <w:r w:rsidRPr="0012761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dayalı olarak ve nasıl bir yöntem izleyerek değerlendireceğini belirleyerek standart işleyiş düzenini oluşturmak. Bu işleyiş düzenini ilgili araştırmacılara duyurmak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c) Başvuran projeleri, standart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işleyiş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düzeni çerçevesinde, araştırma etiği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normlarına ve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bilimsel </w:t>
      </w:r>
      <w:proofErr w:type="gramStart"/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metodolojiye</w:t>
      </w:r>
      <w:proofErr w:type="gramEnd"/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uygun olup olmama yönünden değerlendirmek.</w:t>
      </w:r>
    </w:p>
    <w:p w:rsidR="00186406" w:rsidRPr="001718B8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d) Değerlendirme sonucuna göre başvuran projeleri onaylamak ya da gerekçeli olarak kabul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etmemek</w:t>
      </w:r>
      <w:r w:rsidRPr="003275F3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</w:p>
    <w:p w:rsidR="00186406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e) Projesini onayladığı araştırmaların, yürütülme sürec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ini ve tamamlanmasını, Dekanlık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aracılığıyla, takip etmek.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ÜÇÜNCÜ BÖLÜM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Etik Kurul’un </w:t>
      </w:r>
      <w:r w:rsidRPr="001718B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Olu</w:t>
      </w:r>
      <w:r w:rsidRPr="001718B8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ş</w:t>
      </w:r>
      <w:r w:rsidRPr="001718B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umu</w:t>
      </w: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, Görev Süresi ve </w:t>
      </w:r>
      <w:r w:rsidRPr="001718B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Çalı</w:t>
      </w:r>
      <w:r w:rsidRPr="001718B8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ş</w:t>
      </w:r>
      <w:r w:rsidRPr="001718B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ma</w:t>
      </w: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Düzeni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Etik Kurul’un </w:t>
      </w:r>
      <w:r w:rsidRPr="001718B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Olu</w:t>
      </w:r>
      <w:r w:rsidRPr="001718B8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ş</w:t>
      </w:r>
      <w:r w:rsidRPr="001718B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umu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MADDE 6-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Etik Kurulu’nun oluşturulma sekli ve üyelerinin nitelikleri aşağıda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belirtilen şekilde olur: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a) Etik Kurul Dekan tarafından atanan ve görev süresi De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kan ile birlikte dolan</w:t>
      </w:r>
      <w:r w:rsidR="002D624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11 </w:t>
      </w:r>
      <w:r w:rsidRPr="002D6245">
        <w:rPr>
          <w:rFonts w:ascii="Times New Roman" w:hAnsi="Times New Roman" w:cs="Times New Roman"/>
          <w:color w:val="000000"/>
          <w:kern w:val="0"/>
          <w:sz w:val="24"/>
          <w:szCs w:val="24"/>
        </w:rPr>
        <w:t>üye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den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oluşur.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b) </w:t>
      </w:r>
      <w:r w:rsidRPr="002D624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Üyelerin </w:t>
      </w:r>
      <w:r w:rsidR="002D6245" w:rsidRPr="002D6245">
        <w:rPr>
          <w:rFonts w:ascii="Times New Roman" w:hAnsi="Times New Roman" w:cs="Times New Roman"/>
          <w:color w:val="000000"/>
          <w:kern w:val="0"/>
          <w:sz w:val="24"/>
          <w:szCs w:val="24"/>
        </w:rPr>
        <w:t>ikisi</w:t>
      </w:r>
      <w:r w:rsidRPr="002D624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Tıp Fakültesi Temel Tıp Bilimleri Bölümü (tercihen biri, biri), ikisi Tıp Fakültesi </w:t>
      </w:r>
      <w:proofErr w:type="gramStart"/>
      <w:r w:rsidRPr="002D6245">
        <w:rPr>
          <w:rFonts w:ascii="Times New Roman" w:hAnsi="Times New Roman" w:cs="Times New Roman"/>
          <w:color w:val="000000"/>
          <w:kern w:val="0"/>
          <w:sz w:val="24"/>
          <w:szCs w:val="24"/>
        </w:rPr>
        <w:t>Dahili</w:t>
      </w:r>
      <w:proofErr w:type="gramEnd"/>
      <w:r w:rsidRPr="002D624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Tıp Bilimleri Bölümü (tercihen biri) ve ikisi Tıp Fakültesi Cerrahi Tıp Bilimleri Bölümü</w:t>
      </w:r>
      <w:r w:rsidR="002D6245" w:rsidRPr="002D624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biri Tıp Tarihi ve Etik Anabilim Dalı, biri </w:t>
      </w:r>
      <w:proofErr w:type="spellStart"/>
      <w:r w:rsidR="002D6245" w:rsidRPr="002D6245">
        <w:rPr>
          <w:rFonts w:ascii="Times New Roman" w:hAnsi="Times New Roman" w:cs="Times New Roman"/>
          <w:color w:val="000000"/>
          <w:kern w:val="0"/>
          <w:sz w:val="24"/>
          <w:szCs w:val="24"/>
        </w:rPr>
        <w:t>Biyoistatistik</w:t>
      </w:r>
      <w:proofErr w:type="spellEnd"/>
      <w:r w:rsidR="002D6245" w:rsidRPr="002D624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Anabilim Dalı, biri </w:t>
      </w:r>
      <w:r w:rsidR="002D6245" w:rsidRPr="002D6245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 xml:space="preserve">Çocuk Sağlığı ve Hastalıkları Anabilim Dalı </w:t>
      </w:r>
      <w:r w:rsidRPr="002D6245">
        <w:rPr>
          <w:rFonts w:ascii="Times New Roman" w:hAnsi="Times New Roman" w:cs="Times New Roman"/>
          <w:color w:val="000000"/>
          <w:kern w:val="0"/>
          <w:sz w:val="24"/>
          <w:szCs w:val="24"/>
        </w:rPr>
        <w:t>öğretim üyeleri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arasından</w:t>
      </w:r>
      <w:r w:rsidR="002D6245"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  <w:r w:rsidR="00DF4AC8" w:rsidRPr="00DF4AC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F4AC8">
        <w:rPr>
          <w:rFonts w:ascii="Arial" w:hAnsi="Arial" w:cs="Arial"/>
          <w:color w:val="222222"/>
          <w:shd w:val="clear" w:color="auto" w:fill="FFFFFF"/>
        </w:rPr>
        <w:t>Erken Modern Avrupa'da Tıp ve Toplum.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biri hukuk alanından ve biri de fakülte ve sağlık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mesleği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dışından seçilir.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c) Kurul</w:t>
      </w:r>
      <w:r w:rsidR="0012761E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üyeleri aralarından bir kişiyi başkan olarak belirler.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Etik Kurul’un Görev Süresi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MADDE 7-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Etik Kurul üyelerinin görev süresi a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tamalarını yapan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Dekan’ın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görev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süresinin sonuna kadardır. Yeni Dekan atanması ile üyelik so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na erer. Görev süresi biten üye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yeniden görevlendirilebilir. </w:t>
      </w:r>
      <w:r w:rsidRPr="0062783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Bir takvim yılı içerisinde izinsiz veya mazeretsiz olarak üst üste üç </w:t>
      </w:r>
      <w:r w:rsidR="0062783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veya toplam beş </w:t>
      </w:r>
      <w:r w:rsidRPr="00627830">
        <w:rPr>
          <w:rFonts w:ascii="Times New Roman" w:hAnsi="Times New Roman" w:cs="Times New Roman"/>
          <w:color w:val="000000"/>
          <w:kern w:val="0"/>
          <w:sz w:val="24"/>
          <w:szCs w:val="24"/>
        </w:rPr>
        <w:t>toplantıya katılmayan üyenin üyeliği kendiliğinden düşer.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Üyelik sıfatı ölüm, emeklilik,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ayrılma gibi herhangi bir nedenle sona erenlerin ve üyeliği düşenlerin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yerine aynı usulle ve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kalan süreyi tamamlamak üzere ayrılanla aynı nitelikleri taşıyan yeni bir üye görevlendirilir.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Etik Kurul’un </w:t>
      </w:r>
      <w:r w:rsidRPr="00C97CC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Çalı</w:t>
      </w:r>
      <w:r w:rsidRPr="00C97CC9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ş</w:t>
      </w:r>
      <w:r w:rsidRPr="00C97CC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ma</w:t>
      </w: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Düzeni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MADDE 8-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Etik Kurul aşağıda belirtildiği şekilde çalışır:</w:t>
      </w:r>
    </w:p>
    <w:p w:rsidR="00186406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a) Etik Kurul ayda bir kez, belirlenmiş bir günde,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en az toplam üye sayısının salt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çoğunluğunun (</w:t>
      </w:r>
      <w:r w:rsidR="006E65B6">
        <w:rPr>
          <w:rFonts w:ascii="Times New Roman" w:hAnsi="Times New Roman" w:cs="Times New Roman"/>
          <w:color w:val="000000"/>
          <w:kern w:val="0"/>
          <w:sz w:val="24"/>
          <w:szCs w:val="24"/>
        </w:rPr>
        <w:t>altı</w:t>
      </w:r>
      <w:r w:rsidRPr="006E65B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kişi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) katılımı ile toplanır. Toplantı gündemi kurul başkanı tarafından belirlenir. Başkan başvuruların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durumuna göre aylık toplantının yapılmamasına ya da bir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ay içinde birden fazla toplantı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yapılmasına karar verebilir. Bu kararı üyelere duyurur.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b) </w:t>
      </w:r>
      <w:r w:rsidRPr="006E65B6">
        <w:rPr>
          <w:rFonts w:ascii="Times New Roman" w:hAnsi="Times New Roman" w:cs="Times New Roman"/>
          <w:color w:val="000000"/>
          <w:kern w:val="0"/>
          <w:sz w:val="24"/>
          <w:szCs w:val="24"/>
        </w:rPr>
        <w:t>Toplantıdan bir gün öncesine kadar yapılan tüm başvurular kurul gündemine alınır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ve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başvurma tarihi sırasına göre değerlendirilir. Toplantı süresi tüm dosyaların değerlendirilmesi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için yeterli olmazsa ek toplantı düzenleme yoluna gidilir. Başvurular en geç iki ay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içinde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değerlendirmeye alınır.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c) Etik Kurul toplantılarının yönetimi</w:t>
      </w:r>
      <w:r w:rsidR="00E14D5A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Dekanlık ile yazışmalar</w:t>
      </w:r>
      <w:r w:rsidR="00E14D5A" w:rsidRPr="00E14D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E14D5A"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ve</w:t>
      </w:r>
      <w:r w:rsidR="00E14D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diğer başkanlık yetkileri</w:t>
      </w:r>
      <w:r w:rsidR="00823D3F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="0091629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mazereti nedeniyle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başkan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tarafından </w:t>
      </w:r>
      <w:r w:rsidR="00E14D5A">
        <w:rPr>
          <w:rFonts w:ascii="Times New Roman" w:hAnsi="Times New Roman" w:cs="Times New Roman"/>
          <w:color w:val="000000"/>
          <w:kern w:val="0"/>
          <w:sz w:val="24"/>
          <w:szCs w:val="24"/>
        </w:rPr>
        <w:t>yerine ge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tirileme</w:t>
      </w:r>
      <w:r w:rsidR="00823D3F">
        <w:rPr>
          <w:rFonts w:ascii="Times New Roman" w:hAnsi="Times New Roman" w:cs="Times New Roman"/>
          <w:color w:val="000000"/>
          <w:kern w:val="0"/>
          <w:sz w:val="24"/>
          <w:szCs w:val="24"/>
        </w:rPr>
        <w:t>yece</w:t>
      </w:r>
      <w:r w:rsidR="00E14D5A">
        <w:rPr>
          <w:rFonts w:ascii="Times New Roman" w:hAnsi="Times New Roman" w:cs="Times New Roman"/>
          <w:color w:val="000000"/>
          <w:kern w:val="0"/>
          <w:sz w:val="24"/>
          <w:szCs w:val="24"/>
        </w:rPr>
        <w:t>k olduğun</w:t>
      </w:r>
      <w:r w:rsidR="00E14D5A"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da</w:t>
      </w:r>
      <w:r w:rsidR="00E14D5A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823D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başkan </w:t>
      </w:r>
      <w:r w:rsidR="00E14D5A">
        <w:rPr>
          <w:rFonts w:ascii="Times New Roman" w:hAnsi="Times New Roman" w:cs="Times New Roman"/>
          <w:color w:val="000000"/>
          <w:kern w:val="0"/>
          <w:sz w:val="24"/>
          <w:szCs w:val="24"/>
        </w:rPr>
        <w:t>ya da kurul başkanın görevlerini üstelenece</w:t>
      </w:r>
      <w:r w:rsidR="00823D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k bir </w:t>
      </w:r>
      <w:r w:rsidR="00E14D5A" w:rsidRPr="00E14D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başkan </w:t>
      </w:r>
      <w:r w:rsidRPr="00823D3F">
        <w:rPr>
          <w:rFonts w:ascii="Times New Roman" w:hAnsi="Times New Roman" w:cs="Times New Roman"/>
          <w:color w:val="000000"/>
          <w:kern w:val="0"/>
          <w:sz w:val="24"/>
          <w:szCs w:val="24"/>
        </w:rPr>
        <w:t>vekil</w:t>
      </w:r>
      <w:r w:rsidR="00E14D5A">
        <w:rPr>
          <w:rFonts w:ascii="Times New Roman" w:hAnsi="Times New Roman" w:cs="Times New Roman"/>
          <w:color w:val="000000"/>
          <w:kern w:val="0"/>
          <w:sz w:val="24"/>
          <w:szCs w:val="24"/>
        </w:rPr>
        <w:t>i</w:t>
      </w:r>
      <w:r w:rsidR="00823D3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belirler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ç) Etik Kurul kararları, toplam üye sayısının salt çoğunluğu (</w:t>
      </w:r>
      <w:r w:rsidR="00E14D5A">
        <w:rPr>
          <w:rFonts w:ascii="Times New Roman" w:hAnsi="Times New Roman" w:cs="Times New Roman"/>
          <w:color w:val="000000"/>
          <w:kern w:val="0"/>
          <w:sz w:val="24"/>
          <w:szCs w:val="24"/>
        </w:rPr>
        <w:t>altı</w:t>
      </w:r>
      <w:r w:rsidR="00E14D5A" w:rsidRPr="006E65B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kişi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) ile alınır.</w:t>
      </w:r>
    </w:p>
    <w:p w:rsidR="00186406" w:rsidRPr="001A2F6F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highlight w:val="yellow"/>
        </w:rPr>
      </w:pP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d) Etik Kurul sekretaryasının yürütülmesi; kurul toplantılar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ının organize edilmesi, üyelere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yönelik duyuruların yapılması, kararların yazılması </w:t>
      </w:r>
      <w:r w:rsidRPr="00E14D5A">
        <w:rPr>
          <w:rFonts w:ascii="Times New Roman" w:hAnsi="Times New Roman" w:cs="Times New Roman"/>
          <w:color w:val="000000"/>
          <w:kern w:val="0"/>
          <w:sz w:val="24"/>
          <w:szCs w:val="24"/>
        </w:rPr>
        <w:t>Tıp Tarihi ve Etik Anabilim Dalı Sekreterliği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tarafından gerçekleştirilir. </w:t>
      </w:r>
      <w:r w:rsidRPr="00E14D5A">
        <w:rPr>
          <w:rFonts w:ascii="Times New Roman" w:hAnsi="Times New Roman" w:cs="Times New Roman"/>
          <w:color w:val="000000"/>
          <w:kern w:val="0"/>
          <w:sz w:val="24"/>
          <w:szCs w:val="24"/>
        </w:rPr>
        <w:t>Kurul kararlarının, duyurularının ve yazılarının akademik ve idari birimlere iletilmesi Dekanlık tarafından sağlanır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e) Etik Kurul, araştırmacılarla ve araştırmaların yürütüldüğü birimlerle doğrudan yazışma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yapmaz; başvuruların kurula iletilmesi ve </w:t>
      </w:r>
      <w:r w:rsidRPr="00E14D5A">
        <w:rPr>
          <w:rFonts w:ascii="Times New Roman" w:hAnsi="Times New Roman" w:cs="Times New Roman"/>
          <w:color w:val="000000"/>
          <w:kern w:val="0"/>
          <w:sz w:val="24"/>
          <w:szCs w:val="24"/>
        </w:rPr>
        <w:t>kurul kararlarının araştırmacılara ulaştırılması Dekanlık üzerinden olur.</w:t>
      </w:r>
      <w:r w:rsidR="00E14D5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İş akışını rahatlatmak üzere kurul kararlarının PDF kopyaları ilgili araştırmacılara e-posta yoluyla gönderilebilir.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f) Etik Kurul üyeleri, araştırmacı olarak yer aldıkları projeler hakkındaki </w:t>
      </w:r>
      <w:r w:rsidRPr="00662379">
        <w:rPr>
          <w:rFonts w:ascii="Times New Roman" w:hAnsi="Times New Roman" w:cs="Times New Roman"/>
          <w:color w:val="000000"/>
          <w:kern w:val="0"/>
          <w:sz w:val="24"/>
          <w:szCs w:val="24"/>
        </w:rPr>
        <w:t>görüşmelere</w:t>
      </w:r>
      <w:r w:rsidR="0066237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katılabilir ancak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bunlarla ilgili oylamalara katılamaz.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 xml:space="preserve">g) </w:t>
      </w:r>
      <w:r w:rsidRPr="0066237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Etik Kurul’dan onay almış projelerde </w:t>
      </w:r>
      <w:r w:rsidR="0066237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protokol </w:t>
      </w:r>
      <w:r w:rsidRPr="00662379">
        <w:rPr>
          <w:rFonts w:ascii="Times New Roman" w:hAnsi="Times New Roman" w:cs="Times New Roman"/>
          <w:color w:val="000000"/>
          <w:kern w:val="0"/>
          <w:sz w:val="24"/>
          <w:szCs w:val="24"/>
        </w:rPr>
        <w:t>değişikli</w:t>
      </w:r>
      <w:r w:rsidR="00662379">
        <w:rPr>
          <w:rFonts w:ascii="Times New Roman" w:hAnsi="Times New Roman" w:cs="Times New Roman"/>
          <w:color w:val="000000"/>
          <w:kern w:val="0"/>
          <w:sz w:val="24"/>
          <w:szCs w:val="24"/>
        </w:rPr>
        <w:t>ği</w:t>
      </w:r>
      <w:r w:rsidRPr="0066237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yapılması durumunda </w:t>
      </w:r>
      <w:r w:rsidR="00662379">
        <w:rPr>
          <w:rFonts w:ascii="Times New Roman" w:hAnsi="Times New Roman" w:cs="Times New Roman"/>
          <w:color w:val="000000"/>
          <w:kern w:val="0"/>
          <w:sz w:val="24"/>
          <w:szCs w:val="24"/>
        </w:rPr>
        <w:t>yenilenen protokolün kurula iletilmesi ve değişiklikler hakkında karar</w:t>
      </w:r>
      <w:r w:rsidRPr="0066237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662379">
        <w:rPr>
          <w:rFonts w:ascii="Times New Roman" w:hAnsi="Times New Roman" w:cs="Times New Roman"/>
          <w:color w:val="000000"/>
          <w:kern w:val="0"/>
          <w:sz w:val="24"/>
          <w:szCs w:val="24"/>
        </w:rPr>
        <w:t>alın</w:t>
      </w:r>
      <w:r w:rsidRPr="00662379">
        <w:rPr>
          <w:rFonts w:ascii="Times New Roman" w:hAnsi="Times New Roman" w:cs="Times New Roman"/>
          <w:color w:val="000000"/>
          <w:kern w:val="0"/>
          <w:sz w:val="24"/>
          <w:szCs w:val="24"/>
        </w:rPr>
        <w:t>ması gerekir.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g) Etik Kurul’a yapılan bütün başvurular ve kurulun aldığı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bütün kararlar,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Dekanlık’ın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ve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yetkili yasal mercilerin denetimine açık olarak en az on yıl süreyle saklanır.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h) Etik Kurul, başvuruları değerlendirme çerçevesinde gerek duyduğunda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farklı alanlardaki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uzmanlardan danışmanlık alabilir. Bu çerçevede onlardan görüşlerini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yazılı olarak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iletmelerini veya toplantıya katılarak dile getirmelerini isteyebilir.</w:t>
      </w:r>
    </w:p>
    <w:p w:rsidR="00186406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ı) Etik Kurul, başvuruları değerlendirme çerçevesinde gerek duyduğunda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projelerin sorumlu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araştırmacılarını kendi başvurularının görüşülme süresiyle sın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ırlı olarak, ek bilgi vermek ve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soruları cevaplamak üzere kurul toplantısına katılmaya davet edebilir.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DÖRDÜNCÜ BÖLÜM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4E2F3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Çe</w:t>
      </w:r>
      <w:r w:rsidRPr="004E2F3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ş</w:t>
      </w:r>
      <w:r w:rsidRPr="004E2F3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itli</w:t>
      </w: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ve Son Hükümler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Proje </w:t>
      </w:r>
      <w:r w:rsidRPr="004E2F3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Ba</w:t>
      </w:r>
      <w:r w:rsidRPr="004E2F3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ş</w:t>
      </w:r>
      <w:r w:rsidRPr="004E2F3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vuru</w:t>
      </w: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Kılavuzları ve Formları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MADDE 9-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Etik Kurul, proje başvurularında ku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llanılacak, hangi bilgilerin ve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belgelerin nasıl bir düzen içinde iletilmesi gerektiğini gösteren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kılavuzları ve formları tek tip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ya da farklı </w:t>
      </w:r>
      <w:proofErr w:type="gramStart"/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versiyonlar</w:t>
      </w:r>
      <w:proofErr w:type="gramEnd"/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halinde hazırlar ve gerektiğinde göz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den geçirerek yeniden düzenler. İ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lke olarak başvuru belgelerinde araştırma ve araştırmacılar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hakkında açık ve yeterli bilgi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bulunması ve ekte de tüm araştırmacıların ve araştırmayla i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lgili birimlerin proje hakkında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bilgi sahibi olduğunu teyit eden dokümanın, araştırmanın üzerinde yürütüleceği kişilere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bilgi aktarmak ve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onların onamını almak için hazırlanan form örneğinin, araştırma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konusuyla ilgili </w:t>
      </w:r>
      <w:proofErr w:type="gramStart"/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literatür</w:t>
      </w:r>
      <w:proofErr w:type="gramEnd"/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tanıtımının, araştırma bütçesiyle ilgili bir bilgi notunun yer alması gerekir.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Ba</w:t>
      </w:r>
      <w:r w:rsidRPr="004E2F3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ş</w:t>
      </w: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vuru Sahiplerinin Sorumlulukları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MADDE 10-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Etik Kurul’a başvuran projelerin araştırmacıları,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a) Başvuru formunda verdikleri tüm bilgilerin doğru olduğunu,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b) Etik Kurul onayı olmadan proje konusu araştırmayı başlamayacaklarını,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c) Araştırma sürecin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de projeye sadık kalacaklarını</w:t>
      </w:r>
      <w:r w:rsidR="00A9583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ve proje </w:t>
      </w:r>
      <w:proofErr w:type="gramStart"/>
      <w:r w:rsidR="00A95839">
        <w:rPr>
          <w:rFonts w:ascii="Times New Roman" w:hAnsi="Times New Roman" w:cs="Times New Roman"/>
          <w:color w:val="000000"/>
          <w:kern w:val="0"/>
          <w:sz w:val="24"/>
          <w:szCs w:val="24"/>
        </w:rPr>
        <w:t>revizyonu</w:t>
      </w:r>
      <w:proofErr w:type="gramEnd"/>
      <w:r w:rsidR="00A9583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yapmaları halinde kurula bilgi vereceklerini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kabul etmiş sayılırlar.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Projelerin Etik Kurula Sunulması ve Kurul Kararlarının Ara</w:t>
      </w:r>
      <w:r w:rsidRPr="00D373E3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ş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tırmacılara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İ</w:t>
      </w: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letilmesi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MADDE 11-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Etik Kurul tarafından değerlendirilmesi istenen araştırma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projelerinin,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sorumlu araştırmacılarının kişisel dilekçesi ya da yürütül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ecekleri akademik birimin resmi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yazısı ekinde </w:t>
      </w:r>
      <w:proofErr w:type="spellStart"/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Dekanlık’a</w:t>
      </w:r>
      <w:proofErr w:type="spellEnd"/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iletilmesi gerekir. Etik Kurul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kararları da Dekanlık üzerinden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araştırmacılara ulaştırılır; </w:t>
      </w:r>
      <w:r w:rsidRPr="00C668F9">
        <w:rPr>
          <w:rFonts w:ascii="Times New Roman" w:hAnsi="Times New Roman" w:cs="Times New Roman"/>
          <w:color w:val="000000"/>
          <w:kern w:val="0"/>
          <w:sz w:val="24"/>
          <w:szCs w:val="24"/>
        </w:rPr>
        <w:t>kurul, araştırmacılarla ve araştırmaların yürütüldüğü birimlerle doğrudan yazışma yapmaz.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Başvuruları doğrudan kabul eden Çukurova Üniversitesi Klinik Araştırmalar Etik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Kurulu ile Dekanlık üzerinden kabul eden Çukurova Üniversitesi Tıp Fakültesi Girişimsel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Olmayan Klinik Araştırmalar Etik Kurulu’ndan birine yapılması gerekirken diğerine yapılmış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olan başvurular, söz konusu iki kurulun sekretaryasının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ortak olması çerçevesinde, </w:t>
      </w:r>
      <w:proofErr w:type="spellStart"/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Dekanlık’a</w:t>
      </w:r>
      <w:proofErr w:type="spellEnd"/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bilgi verilerek, ilgili kurula yapılan başvurular arasına aktarılır.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Etik Kurul’un Projeleri De</w:t>
      </w:r>
      <w:r w:rsidRPr="00D373E3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ğ</w:t>
      </w: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erlendirme Esasları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MADDE 12-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Etik Kurul’un projelerde aradığı temel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Ş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artlar, (1) üzerinde araştırma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yürütülecek kişilerin bilgilendirilmesi ve katılmaya raz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ı olması konusunda bir eksiklik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bulunmaması</w:t>
      </w:r>
      <w:r w:rsidR="00C668F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ve bilgilendirme yapılmış, rıza alınmış olsa dahi araştırmadan kaynaklanan risklerin ve yoksunlukların kabul edilebilir düzeyde kalması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; (2) araştırmaya bilimsel katkı sağlayan kişilerin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ve birimlerin onur payından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yoksun bırakılmaması; (3) </w:t>
      </w:r>
      <w:r w:rsidRPr="00C668F9">
        <w:rPr>
          <w:rFonts w:ascii="Times New Roman" w:hAnsi="Times New Roman" w:cs="Times New Roman"/>
          <w:color w:val="000000"/>
          <w:kern w:val="0"/>
          <w:sz w:val="24"/>
          <w:szCs w:val="24"/>
        </w:rPr>
        <w:t>giderler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için araştırmaya tahsis edilmiş fonlar dışında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kaynak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kullanılmamasıdır.</w:t>
      </w:r>
      <w:proofErr w:type="gramEnd"/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Bu genel çerçevede Etik Kurul</w:t>
      </w:r>
      <w:r w:rsidR="00C668F9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başvuruların değe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rlendirilmesinde izlenecek yolu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belirleyen standart değerlendirme </w:t>
      </w:r>
      <w:proofErr w:type="gramStart"/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kriterlerini</w:t>
      </w:r>
      <w:proofErr w:type="gramEnd"/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belirleyerek il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an eder. Bu metinde zaman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içinde gerekli gördüğü değişiklikleri yaparak ilanını yeniler.</w:t>
      </w:r>
    </w:p>
    <w:p w:rsidR="00186406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Etik Kurul, ayrıntılı değerlendirmede araştırma etiğiyle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ilgili ulusal ve uluslararası, resmi ve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gayrı resmi metinleri referans alır (</w:t>
      </w:r>
      <w:r w:rsidRPr="00A724A6">
        <w:rPr>
          <w:rFonts w:ascii="Times New Roman" w:hAnsi="Times New Roman" w:cs="Times New Roman"/>
          <w:color w:val="000000"/>
          <w:kern w:val="0"/>
          <w:sz w:val="24"/>
          <w:szCs w:val="24"/>
        </w:rPr>
        <w:t>Sağlık Bakanlığı</w:t>
      </w:r>
      <w:r w:rsidR="00A724A6" w:rsidRPr="00A724A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A724A6" w:rsidRPr="00EF7C3F">
        <w:rPr>
          <w:rFonts w:ascii="Times New Roman" w:hAnsi="Times New Roman" w:cs="Times New Roman"/>
          <w:color w:val="000000"/>
          <w:kern w:val="0"/>
          <w:sz w:val="24"/>
          <w:szCs w:val="24"/>
        </w:rPr>
        <w:t>Beşeri Tıbbi Ürünlerin Klinik Araştırmaları</w:t>
      </w:r>
      <w:r w:rsidR="00A724A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A724A6" w:rsidRPr="00EF7C3F">
        <w:rPr>
          <w:rFonts w:ascii="Times New Roman" w:hAnsi="Times New Roman" w:cs="Times New Roman"/>
          <w:color w:val="000000"/>
          <w:kern w:val="0"/>
          <w:sz w:val="24"/>
          <w:szCs w:val="24"/>
        </w:rPr>
        <w:t>Hakkında Yönetmelik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="00A724A6" w:rsidRPr="00A724A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Sağlık Bakanlığı </w:t>
      </w:r>
      <w:r w:rsidR="00A724A6" w:rsidRPr="00524740">
        <w:rPr>
          <w:rFonts w:ascii="Times New Roman" w:hAnsi="Times New Roman" w:cs="Times New Roman"/>
          <w:color w:val="000000"/>
          <w:kern w:val="0"/>
          <w:sz w:val="24"/>
          <w:szCs w:val="24"/>
        </w:rPr>
        <w:t>Tıbbi Cihaz Klinik Araştırmaları Yönetmeliği</w:t>
      </w:r>
      <w:r w:rsidR="00A724A6"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="00A724A6" w:rsidRPr="00A724A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Sağlık Bakanlığı </w:t>
      </w:r>
      <w:r w:rsidR="00A724A6" w:rsidRPr="00524740">
        <w:rPr>
          <w:rFonts w:ascii="Times New Roman" w:hAnsi="Times New Roman" w:cs="Times New Roman"/>
          <w:color w:val="000000"/>
          <w:kern w:val="0"/>
          <w:sz w:val="24"/>
          <w:szCs w:val="24"/>
        </w:rPr>
        <w:t>Kozmetik Ürün veya Hammaddelerinin Etkinlik ve Güvenlilik Çalışmaları ile Klinik Araştırmaları Hakkında Yönetmelik</w:t>
      </w:r>
      <w:r w:rsidR="00A724A6"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="00A724A6" w:rsidRPr="00A724A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Sağlık Bakanlığı </w:t>
      </w:r>
      <w:r w:rsidR="00A724A6" w:rsidRPr="00D8039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Geleneksel </w:t>
      </w:r>
      <w:r w:rsidR="00A724A6">
        <w:rPr>
          <w:rFonts w:ascii="Times New Roman" w:hAnsi="Times New Roman" w:cs="Times New Roman"/>
          <w:color w:val="000000"/>
          <w:kern w:val="0"/>
          <w:sz w:val="24"/>
          <w:szCs w:val="24"/>
        </w:rPr>
        <w:t>v</w:t>
      </w:r>
      <w:r w:rsidR="00A724A6" w:rsidRPr="00D80394">
        <w:rPr>
          <w:rFonts w:ascii="Times New Roman" w:hAnsi="Times New Roman" w:cs="Times New Roman"/>
          <w:color w:val="000000"/>
          <w:kern w:val="0"/>
          <w:sz w:val="24"/>
          <w:szCs w:val="24"/>
        </w:rPr>
        <w:t>e Tamamlayıcı Tıp Uygulamalarının Klinik</w:t>
      </w:r>
      <w:r w:rsidR="00A724A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A724A6" w:rsidRPr="00D80394">
        <w:rPr>
          <w:rFonts w:ascii="Times New Roman" w:hAnsi="Times New Roman" w:cs="Times New Roman"/>
          <w:color w:val="000000"/>
          <w:kern w:val="0"/>
          <w:sz w:val="24"/>
          <w:szCs w:val="24"/>
        </w:rPr>
        <w:t>Araştırmaları Hakkında Yönetmelik</w:t>
      </w:r>
      <w:r w:rsidR="00A724A6"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="00A724A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Sağlık Bakanlığı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İ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yi Klinik Uygulamalar Kılavuzu, Sağlık Bakanlığı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Hasta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Hakları Yönetmeliği, Türk Tabipleri Birliği Hekimlik Meslek Etiği Kuralları, Avrupa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Konseyi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İ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nsan Hakları ve Biyotıp Sözleşmesi, Dünya Tıp Birliği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Helsinki Bildirgesi ve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benzerleri).</w:t>
      </w:r>
      <w:proofErr w:type="gramEnd"/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Etik Kurul’un Görev Alanı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MADDE 13-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Kurul, esas görevi Tıp Fakültesi’ne bağlı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birimlerde yürütülecek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araştırma projelerini değerlendirmek-denetlemek olmakla birl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ikte, Çukurova Üniversitesi’nin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farklı birimlerinde ve </w:t>
      </w:r>
      <w:r w:rsidRPr="008F2ED8">
        <w:rPr>
          <w:rFonts w:ascii="Times New Roman" w:hAnsi="Times New Roman" w:cs="Times New Roman"/>
          <w:color w:val="000000"/>
          <w:kern w:val="0"/>
          <w:sz w:val="24"/>
          <w:szCs w:val="24"/>
        </w:rPr>
        <w:t>farklı kurumlardaki eğitim-araştırma birimlerinde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yürütülecek tıpla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ilgili-bağlantılı projeleri de, görev tanımı çerçevesinde yer alma ve usule uygun bir başvuru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ile iletilme halinde, değerlendirmeye-denetlemeye tabi tutar.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Yürürlük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MADDE 14-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Bu yönerge Çukurova Üniversitesi Rektörlüğü tarafından kabul edildiği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tarihten itibaren yürürlüğe girer.</w:t>
      </w:r>
    </w:p>
    <w:p w:rsidR="00186406" w:rsidRPr="003275F3" w:rsidRDefault="00186406" w:rsidP="00186406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Yürütme</w:t>
      </w:r>
    </w:p>
    <w:p w:rsidR="00186406" w:rsidRPr="003275F3" w:rsidRDefault="00186406" w:rsidP="00186406">
      <w:pPr>
        <w:spacing w:after="120" w:line="300" w:lineRule="auto"/>
        <w:jc w:val="both"/>
        <w:rPr>
          <w:rFonts w:ascii="Times New Roman" w:hAnsi="Times New Roman" w:cs="Times New Roman"/>
        </w:rPr>
      </w:pPr>
      <w:r w:rsidRPr="003275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MADDE 15- </w:t>
      </w:r>
      <w:r w:rsidRPr="003275F3">
        <w:rPr>
          <w:rFonts w:ascii="Times New Roman" w:hAnsi="Times New Roman" w:cs="Times New Roman"/>
          <w:color w:val="000000"/>
          <w:kern w:val="0"/>
          <w:sz w:val="24"/>
          <w:szCs w:val="24"/>
        </w:rPr>
        <w:t>Bu yönergeyi Çukurova Üniversitesi Tıp Fakültesi Dekanı yürütür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:rsidR="00186406" w:rsidRPr="003275F3" w:rsidRDefault="00186406" w:rsidP="004D0EAC">
      <w:pPr>
        <w:spacing w:after="120" w:line="30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86406" w:rsidRPr="0032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F3"/>
    <w:rsid w:val="000C7FBE"/>
    <w:rsid w:val="000F405D"/>
    <w:rsid w:val="0012761E"/>
    <w:rsid w:val="00144530"/>
    <w:rsid w:val="001718B8"/>
    <w:rsid w:val="00186406"/>
    <w:rsid w:val="001A2F6F"/>
    <w:rsid w:val="001C21C0"/>
    <w:rsid w:val="002B6066"/>
    <w:rsid w:val="002D0302"/>
    <w:rsid w:val="002D6245"/>
    <w:rsid w:val="003275F3"/>
    <w:rsid w:val="00331F3B"/>
    <w:rsid w:val="00365C4E"/>
    <w:rsid w:val="003E331F"/>
    <w:rsid w:val="00490686"/>
    <w:rsid w:val="004D0EAC"/>
    <w:rsid w:val="004E2F35"/>
    <w:rsid w:val="00524740"/>
    <w:rsid w:val="005E7D45"/>
    <w:rsid w:val="00627830"/>
    <w:rsid w:val="00645F26"/>
    <w:rsid w:val="00662379"/>
    <w:rsid w:val="006E65B6"/>
    <w:rsid w:val="00722821"/>
    <w:rsid w:val="007319D2"/>
    <w:rsid w:val="007D1EB7"/>
    <w:rsid w:val="007F4FD1"/>
    <w:rsid w:val="00823D3F"/>
    <w:rsid w:val="008F2ED8"/>
    <w:rsid w:val="00916299"/>
    <w:rsid w:val="00A04458"/>
    <w:rsid w:val="00A13472"/>
    <w:rsid w:val="00A724A6"/>
    <w:rsid w:val="00A95839"/>
    <w:rsid w:val="00AC042E"/>
    <w:rsid w:val="00B02D67"/>
    <w:rsid w:val="00C668F9"/>
    <w:rsid w:val="00C97CC9"/>
    <w:rsid w:val="00CA0224"/>
    <w:rsid w:val="00CD4E32"/>
    <w:rsid w:val="00D373E3"/>
    <w:rsid w:val="00D41237"/>
    <w:rsid w:val="00D80394"/>
    <w:rsid w:val="00DF4AC8"/>
    <w:rsid w:val="00E14D5A"/>
    <w:rsid w:val="00ED66FC"/>
    <w:rsid w:val="00EF7C3F"/>
    <w:rsid w:val="00F51504"/>
    <w:rsid w:val="00F525B5"/>
    <w:rsid w:val="00F8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37299-403C-41A9-9584-4DC85C3C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4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SELIMKDGLU</dc:creator>
  <cp:keywords/>
  <dc:description/>
  <cp:lastModifiedBy>user</cp:lastModifiedBy>
  <cp:revision>2</cp:revision>
  <dcterms:created xsi:type="dcterms:W3CDTF">2024-02-26T08:01:00Z</dcterms:created>
  <dcterms:modified xsi:type="dcterms:W3CDTF">2024-02-26T08:01:00Z</dcterms:modified>
</cp:coreProperties>
</file>